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11" w:rsidRPr="000B2911" w:rsidRDefault="00712BE6" w:rsidP="000D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Нег</w:t>
      </w:r>
      <w:r>
        <w:rPr>
          <w:rFonts w:ascii="Times New Roman" w:hAnsi="Times New Roman" w:cs="Times New Roman"/>
          <w:b/>
          <w:sz w:val="28"/>
          <w:lang w:val="kk-KZ"/>
        </w:rPr>
        <w:t>ізгі емтихан сессиясы кез</w:t>
      </w:r>
      <w:r w:rsidR="00A46BD7">
        <w:rPr>
          <w:rFonts w:ascii="Times New Roman" w:hAnsi="Times New Roman" w:cs="Times New Roman"/>
          <w:b/>
          <w:sz w:val="28"/>
          <w:lang w:val="kk-KZ"/>
        </w:rPr>
        <w:t>ең</w:t>
      </w:r>
      <w:r>
        <w:rPr>
          <w:rFonts w:ascii="Times New Roman" w:hAnsi="Times New Roman" w:cs="Times New Roman"/>
          <w:b/>
          <w:sz w:val="28"/>
          <w:lang w:val="kk-KZ"/>
        </w:rPr>
        <w:t>інде белгілі себеп</w:t>
      </w:r>
      <w:r w:rsidR="00A46BD7">
        <w:rPr>
          <w:rFonts w:ascii="Times New Roman" w:hAnsi="Times New Roman" w:cs="Times New Roman"/>
          <w:b/>
          <w:sz w:val="28"/>
          <w:lang w:val="kk-KZ"/>
        </w:rPr>
        <w:t>термен</w:t>
      </w:r>
      <w:r>
        <w:rPr>
          <w:rFonts w:ascii="Times New Roman" w:hAnsi="Times New Roman" w:cs="Times New Roman"/>
          <w:b/>
          <w:sz w:val="28"/>
          <w:lang w:val="kk-KZ"/>
        </w:rPr>
        <w:t xml:space="preserve"> емтиханға қатыспаған білім алушыларға арналған нұсқаулық </w:t>
      </w:r>
    </w:p>
    <w:p w:rsidR="000B2911" w:rsidRDefault="000B2911" w:rsidP="000D3E13">
      <w:pPr>
        <w:spacing w:after="0" w:line="240" w:lineRule="auto"/>
      </w:pPr>
    </w:p>
    <w:tbl>
      <w:tblPr>
        <w:tblStyle w:val="a3"/>
        <w:tblW w:w="153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3975"/>
        <w:gridCol w:w="4826"/>
        <w:gridCol w:w="4111"/>
      </w:tblGrid>
      <w:tr w:rsidR="006E0449" w:rsidRPr="006E0449" w:rsidTr="006E0449">
        <w:tc>
          <w:tcPr>
            <w:tcW w:w="2405" w:type="dxa"/>
          </w:tcPr>
          <w:p w:rsidR="006E0449" w:rsidRPr="006E0449" w:rsidRDefault="00712BE6" w:rsidP="00712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Емтихан түрі және жүйе</w:t>
            </w:r>
          </w:p>
        </w:tc>
        <w:tc>
          <w:tcPr>
            <w:tcW w:w="3975" w:type="dxa"/>
          </w:tcPr>
          <w:p w:rsidR="006E0449" w:rsidRPr="006E0449" w:rsidRDefault="00A46BD7" w:rsidP="00712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Емтихан к</w:t>
            </w:r>
            <w:r w:rsidR="00712B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естеге сәйкес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уақытылы </w:t>
            </w:r>
            <w:r w:rsidR="00712B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қатыспаса </w:t>
            </w:r>
          </w:p>
        </w:tc>
        <w:tc>
          <w:tcPr>
            <w:tcW w:w="4826" w:type="dxa"/>
          </w:tcPr>
          <w:p w:rsidR="006E0449" w:rsidRPr="006E0449" w:rsidRDefault="00712BE6" w:rsidP="00712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Екінші рет қатыспаса </w:t>
            </w:r>
          </w:p>
        </w:tc>
        <w:tc>
          <w:tcPr>
            <w:tcW w:w="4111" w:type="dxa"/>
          </w:tcPr>
          <w:p w:rsidR="006E0449" w:rsidRPr="00712BE6" w:rsidRDefault="006E0449" w:rsidP="000D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Incomplete</w:t>
            </w:r>
            <w:r w:rsidR="00712B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кезеңінде қатыспаса</w:t>
            </w:r>
          </w:p>
        </w:tc>
      </w:tr>
      <w:tr w:rsidR="006E0449" w:rsidRPr="005058F8" w:rsidTr="006E0449">
        <w:tc>
          <w:tcPr>
            <w:tcW w:w="2405" w:type="dxa"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ОҚУЛЫҚ</w:t>
            </w:r>
          </w:p>
          <w:p w:rsidR="006E0449" w:rsidRPr="006E0449" w:rsidRDefault="006E0449" w:rsidP="000D3E13">
            <w:pP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:rsidR="006E0449" w:rsidRPr="006E0449" w:rsidRDefault="006E0449" w:rsidP="000D3E13">
            <w:pP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3975" w:type="dxa"/>
            <w:vMerge w:val="restart"/>
          </w:tcPr>
          <w:p w:rsidR="006E0449" w:rsidRPr="00474865" w:rsidRDefault="00712BE6" w:rsidP="006E0449">
            <w:pPr>
              <w:ind w:firstLine="465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Бірінші қадам - </w:t>
            </w:r>
            <w:r w:rsidR="006E0449" w:rsidRPr="004748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4748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білім алушы емтихан уақыты аяқталған соң, емтихан қабылдаушыға немесе топтың эдвайзеріне немесе факультеттің оқу-әдістемелік және тәрбие жұмысы бойынша д</w:t>
            </w:r>
            <w:r w:rsidR="00415F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екан орынбасарына </w:t>
            </w:r>
            <w:r w:rsidR="00A46B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хабарласуы</w:t>
            </w:r>
            <w:r w:rsidR="00415F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қажет</w:t>
            </w:r>
            <w:r w:rsidR="004748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6E0449" w:rsidRPr="00474865" w:rsidRDefault="00474865" w:rsidP="006E0449">
            <w:pPr>
              <w:ind w:firstLine="465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Екінші қадам - </w:t>
            </w:r>
            <w:r w:rsidR="006E0449" w:rsidRPr="004748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емтихан қабылдаушы </w:t>
            </w:r>
            <w:r w:rsidR="006E0449" w:rsidRPr="004748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/ </w:t>
            </w:r>
            <w:proofErr w:type="spellStart"/>
            <w:r w:rsidR="006E0449" w:rsidRPr="006E0449">
              <w:rPr>
                <w:rFonts w:ascii="Times New Roman" w:hAnsi="Times New Roman" w:cs="Times New Roman"/>
                <w:sz w:val="24"/>
                <w:szCs w:val="28"/>
              </w:rPr>
              <w:t>эдвайзер</w:t>
            </w:r>
            <w:proofErr w:type="spellEnd"/>
            <w:r w:rsidR="006E0449" w:rsidRPr="004748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декан орынбасары емтиханның өткізілу формасы бойынша жауапты сәйкес құрылымдық бөлімге (</w:t>
            </w:r>
            <w:r w:rsidR="003E16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ЖББТИ, БББҚ, МжКДО, АТжИДИ – қажеттісін таңдау) </w:t>
            </w:r>
            <w:r w:rsidR="00A46BD7" w:rsidRPr="00A46B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хабарласуы</w:t>
            </w:r>
            <w:r w:rsidR="00415F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қажет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6E0449" w:rsidRPr="00A46BD7" w:rsidRDefault="003E1666" w:rsidP="00415F8F">
            <w:pPr>
              <w:ind w:firstLine="465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Үшінші қадам – </w:t>
            </w:r>
            <w:r w:rsidRPr="00415F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жауапты құрылымдық бөлім</w:t>
            </w:r>
            <w:r w:rsidR="00415F8F" w:rsidRPr="00415F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келесі күні (уақыты келісіледі) емтихан тапсыруды ұйымдастырады</w:t>
            </w:r>
            <w:r w:rsidR="00415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6E0449" w:rsidRPr="00A46B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4826" w:type="dxa"/>
            <w:vMerge w:val="restart"/>
          </w:tcPr>
          <w:p w:rsidR="00415F8F" w:rsidRDefault="00415F8F" w:rsidP="006E0449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Бірінші қадам – </w:t>
            </w:r>
            <w:r w:rsidRPr="00415F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білім алушы</w:t>
            </w:r>
            <w:r w:rsidRPr="00415F8F">
              <w:rPr>
                <w:rFonts w:ascii="Times New Roman" w:hAnsi="Times New Roman" w:cs="Times New Roman"/>
                <w:sz w:val="24"/>
                <w:szCs w:val="28"/>
                <w:u w:val="single"/>
                <w:lang w:val="kk-KZ"/>
              </w:rPr>
              <w:t xml:space="preserve"> </w:t>
            </w:r>
            <w:r w:rsidRPr="00415F8F">
              <w:rPr>
                <w:rFonts w:ascii="Times New Roman" w:hAnsi="Times New Roman" w:cs="Times New Roman"/>
                <w:bCs/>
                <w:sz w:val="24"/>
                <w:szCs w:val="28"/>
                <w:u w:val="single"/>
                <w:lang w:val="en-US"/>
              </w:rPr>
              <w:t>Incomplete</w:t>
            </w:r>
            <w:r w:rsidRPr="00415F8F">
              <w:rPr>
                <w:rFonts w:ascii="Times New Roman" w:hAnsi="Times New Roman" w:cs="Times New Roman"/>
                <w:bCs/>
                <w:sz w:val="24"/>
                <w:szCs w:val="28"/>
                <w:u w:val="single"/>
                <w:lang w:val="kk-KZ"/>
              </w:rPr>
              <w:t xml:space="preserve"> </w:t>
            </w:r>
            <w:r w:rsidRPr="00415F8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кезінде қайта тапсыруға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рұқсат беруі туралы оқу жұмысы жөніндегі проректордың атына өтініш(емтихан тапсырылатын күні мен уақыты көрсет</w:t>
            </w:r>
            <w:r w:rsidR="00AA744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іліп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)  жазады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6E0449" w:rsidRPr="00A46B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6E0449" w:rsidRPr="00907109" w:rsidRDefault="00415F8F" w:rsidP="006E0449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Екінші қадам –</w:t>
            </w:r>
            <w:r w:rsidR="006E0449" w:rsidRP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өтінішке қолдардың қойылуын </w:t>
            </w:r>
            <w:r w:rsid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(д</w:t>
            </w:r>
            <w:r w:rsidR="00907109" w:rsidRP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екан</w:t>
            </w:r>
            <w:r w:rsid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ның</w:t>
            </w:r>
            <w:r w:rsidR="00907109" w:rsidRP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, </w:t>
            </w:r>
            <w:r w:rsid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емтиханның өткізілуі бойынша жауапты құрылымдық бөлім жетекшісінің, Оқу үдерісін жоспарлау және қолдау көрсету басқармасы басшысының, Академиялық мәселелер жөніндегі департамент директорының, Оқу жұмысы жөніндегі проректордың рұқсаты болуы қажет) </w:t>
            </w:r>
            <w:r w:rsidR="006E0449" w:rsidRPr="0090710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деканат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қамтамасыз етеді </w:t>
            </w:r>
          </w:p>
          <w:p w:rsidR="005058F8" w:rsidRPr="00907109" w:rsidRDefault="00907109" w:rsidP="005058F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Үшінші қадам –</w:t>
            </w:r>
            <w:r w:rsidRPr="00A46BD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деканат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барлық рұқсатты алғаннан кейін қосымша емтихан тізімдемесін ашуға өкім дайындайды және Т</w:t>
            </w:r>
            <w:r w:rsidR="00AA744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ркеуші кеңсесі қызметіне жеткізеді. Содан соң, білім алушыны емтихан тапсыруға рұқсат бер</w:t>
            </w:r>
            <w:r w:rsidR="00AA744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ілген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/ рұқсат бер</w:t>
            </w:r>
            <w:r w:rsidR="00AA744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ілмегендігі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туралы ақпараттандырады (</w:t>
            </w:r>
            <w:r w:rsidRPr="0090710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Incomplete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bookmarkStart w:id="0" w:name="_GoBack"/>
            <w:r w:rsidRPr="005058F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кезеңінде</w:t>
            </w:r>
            <w:r w:rsidR="005058F8" w:rsidRPr="005058F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«УНИВЕР» ЖАЗБАША </w:t>
            </w:r>
            <w:r w:rsidRPr="005058F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емтихандар</w:t>
            </w:r>
            <w:r w:rsidR="005058F8" w:rsidRPr="005058F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  <w:r w:rsidRPr="005058F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ОҚУЛЫҚ платформасында жүргізіледі)</w:t>
            </w:r>
            <w:bookmarkEnd w:id="0"/>
          </w:p>
        </w:tc>
        <w:tc>
          <w:tcPr>
            <w:tcW w:w="4111" w:type="dxa"/>
            <w:vMerge w:val="restart"/>
          </w:tcPr>
          <w:p w:rsidR="006E0449" w:rsidRPr="006E0449" w:rsidRDefault="000B1642" w:rsidP="006E044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Егер білім алушы белгіленген кезеңде барлық талаптарды орындамаған жағдайда </w:t>
            </w:r>
            <w:r w:rsidRPr="006E044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«I»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бағасы </w:t>
            </w:r>
            <w:r w:rsidRPr="006E044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«F»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бағасына ауысады, яғни «қанағаттан</w:t>
            </w:r>
            <w:r w:rsidR="00AA74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дырар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лықсыз».</w:t>
            </w:r>
            <w:r w:rsidR="006E0449" w:rsidRPr="006E044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6E0449" w:rsidRPr="00A46BD7" w:rsidRDefault="000B1642" w:rsidP="000B164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B164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«F»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бағасына ауысқан жағдайда білім алушы ақылы негізде қайтадан сол оқу пәніне/модуліне жазылып, бағдарламаға сәйкес барлық оқу түріне қатысады және қорытынды бақылау қайта тапсырады. </w:t>
            </w:r>
          </w:p>
        </w:tc>
      </w:tr>
      <w:tr w:rsidR="006E0449" w:rsidRPr="006E0449" w:rsidTr="006E0449">
        <w:tc>
          <w:tcPr>
            <w:tcW w:w="2405" w:type="dxa"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УНИВЕР ТЕСТ</w:t>
            </w:r>
          </w:p>
          <w:p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975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6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6E0449" w:rsidRPr="006E0449" w:rsidTr="006E0449">
        <w:tc>
          <w:tcPr>
            <w:tcW w:w="2405" w:type="dxa"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MOODLE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ТЕСТ</w:t>
            </w:r>
          </w:p>
          <w:p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975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6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6E0449" w:rsidRPr="006E0449" w:rsidTr="006E0449">
        <w:tc>
          <w:tcPr>
            <w:tcW w:w="2405" w:type="dxa"/>
          </w:tcPr>
          <w:p w:rsidR="006E0449" w:rsidRPr="006E0449" w:rsidRDefault="006E0449" w:rsidP="00712BE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М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OODLE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r w:rsidR="00712B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ЖАЗБАША (кейс, жоба, эссе және т.б.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)</w:t>
            </w:r>
          </w:p>
        </w:tc>
        <w:tc>
          <w:tcPr>
            <w:tcW w:w="3975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6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6E0449" w:rsidRPr="006E0449" w:rsidTr="006E0449">
        <w:tc>
          <w:tcPr>
            <w:tcW w:w="2405" w:type="dxa"/>
          </w:tcPr>
          <w:p w:rsidR="006E0449" w:rsidRPr="006E0449" w:rsidRDefault="006E0449" w:rsidP="00712BE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УНИВЕР </w:t>
            </w:r>
            <w:r w:rsidR="00712B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ЖАЗБАША</w:t>
            </w:r>
          </w:p>
        </w:tc>
        <w:tc>
          <w:tcPr>
            <w:tcW w:w="3975" w:type="dxa"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sz w:val="24"/>
                <w:szCs w:val="28"/>
              </w:rPr>
              <w:t>---</w:t>
            </w:r>
          </w:p>
        </w:tc>
        <w:tc>
          <w:tcPr>
            <w:tcW w:w="4826" w:type="dxa"/>
            <w:vMerge/>
          </w:tcPr>
          <w:p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111" w:type="dxa"/>
            <w:vMerge/>
          </w:tcPr>
          <w:p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7D0678" w:rsidRDefault="007D0678" w:rsidP="000D3E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3F03" w:rsidRPr="00343F03" w:rsidRDefault="00343F03" w:rsidP="00343F0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415F8F" w:rsidRPr="00415F8F">
        <w:rPr>
          <w:rFonts w:ascii="Times New Roman" w:hAnsi="Times New Roman" w:cs="Times New Roman"/>
          <w:b/>
          <w:sz w:val="24"/>
          <w:szCs w:val="28"/>
          <w:lang w:val="kk-KZ"/>
        </w:rPr>
        <w:t>ЖББТИ</w:t>
      </w:r>
      <w:r w:rsidR="00AA744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/ </w:t>
      </w:r>
      <w:r w:rsidR="00AA7440" w:rsidRPr="00AA7440">
        <w:rPr>
          <w:rFonts w:ascii="Times New Roman" w:hAnsi="Times New Roman" w:cs="Times New Roman"/>
          <w:b/>
          <w:sz w:val="24"/>
          <w:szCs w:val="28"/>
          <w:lang w:val="kk-KZ"/>
        </w:rPr>
        <w:t>ИНОТ</w:t>
      </w:r>
      <w:r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 (Мусинова Асель Ахметовна – </w:t>
      </w:r>
      <w:r w:rsidR="00415F8F">
        <w:rPr>
          <w:rFonts w:ascii="Times New Roman" w:hAnsi="Times New Roman" w:cs="Times New Roman"/>
          <w:bCs/>
          <w:sz w:val="24"/>
          <w:szCs w:val="24"/>
          <w:lang w:val="kk-KZ"/>
        </w:rPr>
        <w:t>ішкі нөмірі</w:t>
      </w:r>
      <w:r w:rsidR="00415F8F"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- 3123) - </w:t>
      </w:r>
      <w:r w:rsidRPr="00415F8F">
        <w:rPr>
          <w:rFonts w:ascii="Times New Roman" w:hAnsi="Times New Roman" w:cs="Times New Roman"/>
          <w:b/>
          <w:bCs/>
          <w:sz w:val="24"/>
          <w:szCs w:val="24"/>
          <w:lang w:val="kk-KZ"/>
        </w:rPr>
        <w:t>MOODLE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ТЕСТ, М</w:t>
      </w:r>
      <w:r w:rsidRPr="00415F8F">
        <w:rPr>
          <w:rFonts w:ascii="Times New Roman" w:hAnsi="Times New Roman" w:cs="Times New Roman"/>
          <w:b/>
          <w:bCs/>
          <w:sz w:val="24"/>
          <w:szCs w:val="24"/>
          <w:lang w:val="kk-KZ"/>
        </w:rPr>
        <w:t>OODLE</w:t>
      </w:r>
      <w:r w:rsidR="00415F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ЖАЗБАША (кейс, жоба, эссе және т.б.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343F03" w:rsidRPr="00343F03" w:rsidRDefault="00415F8F" w:rsidP="00343F0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15F8F">
        <w:rPr>
          <w:rFonts w:ascii="Times New Roman" w:hAnsi="Times New Roman" w:cs="Times New Roman"/>
          <w:b/>
          <w:sz w:val="24"/>
          <w:szCs w:val="28"/>
          <w:lang w:val="kk-KZ"/>
        </w:rPr>
        <w:t>БББҚ</w:t>
      </w:r>
      <w:r w:rsidR="00343F03"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A74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/ СККОП </w:t>
      </w:r>
      <w:r w:rsidR="00343F03"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(Байносерова Айгуль Габдуллаевна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ішкі нөмірі</w:t>
      </w:r>
      <w:r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43F03"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- 1336) </w:t>
      </w:r>
      <w:r w:rsidR="00343F03"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- УНИВЕР ТЕСТ</w:t>
      </w:r>
    </w:p>
    <w:p w:rsidR="00343F03" w:rsidRPr="00343F03" w:rsidRDefault="00415F8F" w:rsidP="00343F0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15F8F">
        <w:rPr>
          <w:rFonts w:ascii="Times New Roman" w:hAnsi="Times New Roman" w:cs="Times New Roman"/>
          <w:b/>
          <w:sz w:val="24"/>
          <w:szCs w:val="28"/>
          <w:lang w:val="kk-KZ"/>
        </w:rPr>
        <w:t>МжКДО</w:t>
      </w:r>
      <w:r w:rsidR="00343F03"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A74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/ ЦКПР </w:t>
      </w:r>
      <w:r w:rsidR="00343F03" w:rsidRPr="00343F03">
        <w:rPr>
          <w:rFonts w:ascii="Times New Roman" w:hAnsi="Times New Roman" w:cs="Times New Roman"/>
          <w:sz w:val="24"/>
          <w:szCs w:val="24"/>
          <w:lang w:val="kk-KZ"/>
        </w:rPr>
        <w:t>(Ш</w:t>
      </w:r>
      <w:r w:rsidR="00A46BD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43F03"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яхметов Кайрат Нурдаулетович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ішкі нөмірі</w:t>
      </w:r>
      <w:r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43F03"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- 3186) </w:t>
      </w:r>
      <w:r w:rsidR="00343F03"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ОҚУЛЫҚ</w:t>
      </w:r>
    </w:p>
    <w:p w:rsidR="00343F03" w:rsidRPr="00343F03" w:rsidRDefault="00343F03" w:rsidP="00343F03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(Мурзагалиев Темирлан </w:t>
      </w:r>
      <w:r w:rsidR="00415F8F">
        <w:rPr>
          <w:rFonts w:ascii="Times New Roman" w:hAnsi="Times New Roman" w:cs="Times New Roman"/>
          <w:bCs/>
          <w:sz w:val="24"/>
          <w:szCs w:val="24"/>
          <w:lang w:val="kk-KZ"/>
        </w:rPr>
        <w:t>ішкі нөмірі</w:t>
      </w:r>
      <w:r w:rsidR="00415F8F"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43F03">
        <w:rPr>
          <w:rFonts w:ascii="Times New Roman" w:hAnsi="Times New Roman" w:cs="Times New Roman"/>
          <w:bCs/>
          <w:sz w:val="24"/>
          <w:szCs w:val="24"/>
          <w:lang w:val="kk-KZ"/>
        </w:rPr>
        <w:t>- 1279)</w:t>
      </w:r>
    </w:p>
    <w:p w:rsidR="00343F03" w:rsidRPr="007D0678" w:rsidRDefault="00415F8F" w:rsidP="00343F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F8F">
        <w:rPr>
          <w:rFonts w:ascii="Times New Roman" w:hAnsi="Times New Roman" w:cs="Times New Roman"/>
          <w:b/>
          <w:sz w:val="24"/>
          <w:szCs w:val="28"/>
          <w:lang w:val="kk-KZ"/>
        </w:rPr>
        <w:t>АТжИДИ</w:t>
      </w:r>
      <w:r w:rsidR="00343F03"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A74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/ ИИТИР </w:t>
      </w:r>
      <w:r w:rsidR="00343F03" w:rsidRPr="00343F03">
        <w:rPr>
          <w:rFonts w:ascii="Times New Roman" w:hAnsi="Times New Roman" w:cs="Times New Roman"/>
          <w:bCs/>
          <w:sz w:val="24"/>
          <w:szCs w:val="24"/>
          <w:lang w:val="kk-KZ"/>
        </w:rPr>
        <w:t>(Кис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таубаев Ерлан Бейсенбаевич ішкі нөмірі</w:t>
      </w:r>
      <w:r w:rsidR="00343F03"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1118) - </w:t>
      </w:r>
      <w:r w:rsidR="00343F03"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УНИВЕР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ЖАЗБАША</w:t>
      </w:r>
    </w:p>
    <w:sectPr w:rsidR="00343F03" w:rsidRPr="007D0678" w:rsidSect="005058F8">
      <w:pgSz w:w="16838" w:h="11906" w:orient="landscape"/>
      <w:pgMar w:top="568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8E"/>
    <w:rsid w:val="00041406"/>
    <w:rsid w:val="000B1642"/>
    <w:rsid w:val="000B2911"/>
    <w:rsid w:val="000D3E13"/>
    <w:rsid w:val="00291ABF"/>
    <w:rsid w:val="003129AB"/>
    <w:rsid w:val="003200F1"/>
    <w:rsid w:val="00343F03"/>
    <w:rsid w:val="00387EAF"/>
    <w:rsid w:val="003E1666"/>
    <w:rsid w:val="00415F8F"/>
    <w:rsid w:val="00474865"/>
    <w:rsid w:val="004D7DB6"/>
    <w:rsid w:val="004E215F"/>
    <w:rsid w:val="005058F8"/>
    <w:rsid w:val="005073C9"/>
    <w:rsid w:val="005D00CA"/>
    <w:rsid w:val="006C4109"/>
    <w:rsid w:val="006C608E"/>
    <w:rsid w:val="006E0449"/>
    <w:rsid w:val="00712BE6"/>
    <w:rsid w:val="0071616C"/>
    <w:rsid w:val="0071688D"/>
    <w:rsid w:val="007D0678"/>
    <w:rsid w:val="00831B6C"/>
    <w:rsid w:val="0086099E"/>
    <w:rsid w:val="00873D41"/>
    <w:rsid w:val="008A3A3D"/>
    <w:rsid w:val="008E6DBF"/>
    <w:rsid w:val="00907109"/>
    <w:rsid w:val="00946CA4"/>
    <w:rsid w:val="00A24E87"/>
    <w:rsid w:val="00A46BD7"/>
    <w:rsid w:val="00AA7440"/>
    <w:rsid w:val="00AD7624"/>
    <w:rsid w:val="00BC34AE"/>
    <w:rsid w:val="00C00C04"/>
    <w:rsid w:val="00C80BD3"/>
    <w:rsid w:val="00CF2C9F"/>
    <w:rsid w:val="00D554B0"/>
    <w:rsid w:val="00D66E49"/>
    <w:rsid w:val="00F340DD"/>
    <w:rsid w:val="00F449AD"/>
    <w:rsid w:val="00F47525"/>
    <w:rsid w:val="00FE11A2"/>
    <w:rsid w:val="00FE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6319"/>
  <w15:docId w15:val="{4D4F36A3-D710-4607-A8D7-A5EA2CD3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4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Мирзалиева Динара</dc:creator>
  <cp:lastModifiedBy>Мирзалиева Динара</cp:lastModifiedBy>
  <cp:revision>3</cp:revision>
  <cp:lastPrinted>2020-11-27T09:41:00Z</cp:lastPrinted>
  <dcterms:created xsi:type="dcterms:W3CDTF">2020-12-04T05:44:00Z</dcterms:created>
  <dcterms:modified xsi:type="dcterms:W3CDTF">2020-12-04T08:48:00Z</dcterms:modified>
</cp:coreProperties>
</file>